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Calibri-Bold" w:hAnsi="Calibri-Bold" w:cs="Calibri-Bold"/>
          <w:b/>
          <w:bCs/>
          <w:color w:val="345A8B"/>
          <w:sz w:val="32"/>
          <w:szCs w:val="32"/>
        </w:rPr>
        <w:t xml:space="preserve">Reglement Alcohol </w:t>
      </w:r>
      <w:r w:rsidR="003F3101">
        <w:rPr>
          <w:rFonts w:ascii="Calibri-Bold" w:hAnsi="Calibri-Bold" w:cs="Calibri-Bold"/>
          <w:b/>
          <w:bCs/>
          <w:color w:val="345A8B"/>
          <w:sz w:val="32"/>
          <w:szCs w:val="32"/>
        </w:rPr>
        <w:t>Gebruik in en rond De Spil</w:t>
      </w:r>
    </w:p>
    <w:p w:rsidR="003F3101" w:rsidRDefault="003F3101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1</w:t>
      </w:r>
      <w:r w:rsidR="003F3101">
        <w:rPr>
          <w:rFonts w:ascii="Calibri-Bold" w:hAnsi="Calibri-Bold" w:cs="Calibri-Bold"/>
          <w:b/>
          <w:bCs/>
          <w:color w:val="4F82BE"/>
          <w:sz w:val="26"/>
          <w:szCs w:val="26"/>
        </w:rPr>
        <w:t>.</w:t>
      </w: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 xml:space="preserve"> Begripsbep</w:t>
      </w:r>
      <w:r w:rsidR="003F3101">
        <w:rPr>
          <w:rFonts w:ascii="Calibri-Bold" w:hAnsi="Calibri-Bold" w:cs="Calibri-Bold"/>
          <w:b/>
          <w:bCs/>
          <w:color w:val="4F82BE"/>
          <w:sz w:val="26"/>
          <w:szCs w:val="26"/>
        </w:rPr>
        <w:t>alingen:</w:t>
      </w:r>
    </w:p>
    <w:p w:rsidR="0055674D" w:rsidRDefault="003F3101" w:rsidP="003F310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Zwakalcoholhoudende drank: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bier, wijn en gedestilleerd met minder dan 15% alcohol</w:t>
      </w:r>
    </w:p>
    <w:p w:rsidR="0055674D" w:rsidRDefault="003F3101" w:rsidP="003F310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Sterke drank: gedestilleerd met 15% alcohol of meer</w:t>
      </w:r>
    </w:p>
    <w:p w:rsidR="0055674D" w:rsidRDefault="003F3101" w:rsidP="003F310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Barvrijwilliger: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Een vrijwilliger, die op tijden dat er alcoh</w:t>
      </w:r>
      <w:r>
        <w:rPr>
          <w:rFonts w:ascii="Cambria" w:hAnsi="Cambria" w:cs="Cambria"/>
          <w:color w:val="000000"/>
          <w:sz w:val="24"/>
          <w:szCs w:val="24"/>
        </w:rPr>
        <w:t>olische dranken wordt verstrekt,</w:t>
      </w:r>
      <w:r w:rsidR="0055674D">
        <w:rPr>
          <w:rFonts w:ascii="Cambria" w:hAnsi="Cambria" w:cs="Cambria"/>
          <w:color w:val="000000"/>
          <w:sz w:val="24"/>
          <w:szCs w:val="24"/>
        </w:rPr>
        <w:t xml:space="preserve"> de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barwerkzaamheden in de kantine uitvoert. Kwalificatienormen voor barvrijwilligers zijn</w:t>
      </w:r>
      <w:r>
        <w:rPr>
          <w:rFonts w:ascii="Cambria" w:hAnsi="Cambria" w:cs="Cambria"/>
          <w:color w:val="000000"/>
          <w:sz w:val="24"/>
          <w:szCs w:val="24"/>
        </w:rPr>
        <w:t xml:space="preserve"> vastgelegd onder </w:t>
      </w:r>
      <w:r w:rsidR="0055674D">
        <w:rPr>
          <w:rFonts w:ascii="Cambria" w:hAnsi="Cambria" w:cs="Cambria"/>
          <w:color w:val="000000"/>
          <w:sz w:val="24"/>
          <w:szCs w:val="24"/>
        </w:rPr>
        <w:t>6.</w:t>
      </w:r>
    </w:p>
    <w:p w:rsidR="0055674D" w:rsidRDefault="003F3101" w:rsidP="003F310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Leidinggevenden: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De Stichting Sport en Welzijn Dorp Tynaarlo heeft drie leden aangewezen als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leidinggevenden. Zij zijn tenminste 21 jaar oud, in het bezit van de verklaring Sociale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Hygiëne en voldoen aan de eisen van zedelijkheid en staan als zodanig vermeld op de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vergunning van de Stichting Sport en Welzijn Dorp Tynaarlo.</w:t>
      </w:r>
    </w:p>
    <w:p w:rsidR="0055674D" w:rsidRDefault="003F3101" w:rsidP="003F310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Sociale hygiëne: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Met sociale hygiëne wordt bedoeld dat mensen gezond met elkaar omgaan: dat ze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rekening houden met elkaars waarden, normen en rollen. In de sportkantine gaat het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vooral om kennis en inzicht van enerzijds alcoholgebruik en alcoholmisbruik 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anderzijds hoe men verantwoord alcoholgebruik in de kantine kan bevorderen. Hierbij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zijn kennis van de huis en gedrag</w:t>
      </w:r>
      <w:r w:rsidR="005E1CD4">
        <w:rPr>
          <w:rFonts w:ascii="Cambria" w:hAnsi="Cambria" w:cs="Cambria"/>
          <w:color w:val="000000"/>
          <w:sz w:val="24"/>
          <w:szCs w:val="24"/>
        </w:rPr>
        <w:t>s</w:t>
      </w:r>
      <w:bookmarkStart w:id="0" w:name="_GoBack"/>
      <w:bookmarkEnd w:id="0"/>
      <w:r w:rsidR="0055674D">
        <w:rPr>
          <w:rFonts w:ascii="Cambria" w:hAnsi="Cambria" w:cs="Cambria"/>
          <w:color w:val="000000"/>
          <w:sz w:val="24"/>
          <w:szCs w:val="24"/>
        </w:rPr>
        <w:t>regels uit dit reglement in combinatie met sociale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vaardigheden belangrijk. Daarnaast gaat het om kennis van de Drank- en Horecawet,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verwante regelgeving en de Reclamecode voor Alcoholhoudende Dranken en van de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technische, bouwkundige en ruimtelijke voorzieningen van de kantine.</w:t>
      </w:r>
    </w:p>
    <w:p w:rsidR="003F3101" w:rsidRDefault="003F3101" w:rsidP="003F310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2</w:t>
      </w:r>
      <w:r w:rsidR="003F3101">
        <w:rPr>
          <w:rFonts w:ascii="Calibri-Bold" w:hAnsi="Calibri-Bold" w:cs="Calibri-Bold"/>
          <w:b/>
          <w:bCs/>
          <w:color w:val="4F82BE"/>
          <w:sz w:val="26"/>
          <w:szCs w:val="26"/>
        </w:rPr>
        <w:t>.</w:t>
      </w: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 xml:space="preserve"> Wettelijke bepalingen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Uit oogpunt van verantwoorde alcoholverstrekking moeten de volgende wettelijke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bepalingen worden nageleefd: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Verkoop van alcoholhoudende drank aan personen jonger dan 18 jaar is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verboden.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Leeftijdsgrenzen en schenktijden moeten zichtbaar in de kantine worden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opgehangen.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De verstrekker van alcohol dient bij de aspirant-koper de leeftijd vast te stellen,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tenzij betrokkene onmiskenbaar de vereiste leeftijd heeft bereikt.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Er wordt geen alcoholhoudende drank verstrekt als dit leidt tot verstoring van de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openbare orde, veiligheid of zedelijkheid.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Het is niet toegestaan alcoholhoudende drank te verstrekken aan personen in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kennelijke staat van dronkenschap.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Toegang tot de kantine is verboden voor personen die in kennelijke staat van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dronkenschap zijn dan wel onder kennelijke invloed van psychotrope stoffen of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 het bezit hiervan zijn.</w:t>
      </w:r>
    </w:p>
    <w:p w:rsidR="003F3101" w:rsidRDefault="003F3101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3</w:t>
      </w:r>
      <w:r w:rsidR="003F3101">
        <w:rPr>
          <w:rFonts w:ascii="Calibri-Bold" w:hAnsi="Calibri-Bold" w:cs="Calibri-Bold"/>
          <w:b/>
          <w:bCs/>
          <w:color w:val="4F82BE"/>
          <w:sz w:val="26"/>
          <w:szCs w:val="26"/>
        </w:rPr>
        <w:t>.</w:t>
      </w: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 xml:space="preserve"> Aanwezigheid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Op de momenten dat er in het dorpshuis/kantine alcoholhoudende drank wordt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geschonken, is er altijd ofwel een leidinggevende aanwezig die in het bezit is van de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verklaring Sociale Hygiëne ofwel een barvrijwilliger die een verplichte instructie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verantwoord alcoholgebruik heeft gevolgd en kennis heeft van de technische en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ruimtelijke voorzieningen van de kantine.</w:t>
      </w:r>
    </w:p>
    <w:p w:rsidR="003F3101" w:rsidRDefault="003F3101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4</w:t>
      </w:r>
      <w:r w:rsidR="003F3101">
        <w:rPr>
          <w:rFonts w:ascii="Calibri-Bold" w:hAnsi="Calibri-Bold" w:cs="Calibri-Bold"/>
          <w:b/>
          <w:bCs/>
          <w:color w:val="4F82BE"/>
          <w:sz w:val="26"/>
          <w:szCs w:val="26"/>
        </w:rPr>
        <w:t>.</w:t>
      </w: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 xml:space="preserve"> Huis- en gedragsregels</w:t>
      </w:r>
    </w:p>
    <w:p w:rsidR="0055674D" w:rsidRDefault="003F3101" w:rsidP="003F310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-</w:t>
      </w:r>
      <w:r w:rsidR="0055674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Het is niet toegestaan zelf meegebrachte alcoholhoudende drank te gebruiken 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de accommodatie.</w:t>
      </w:r>
    </w:p>
    <w:p w:rsidR="0055674D" w:rsidRDefault="003F3101" w:rsidP="003F310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Het is niet toegestaan om in de kantine gekochte alcoholhoudende drank elders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te nuttigen dan in de kantine of op het terras. Vanuit de kantine mogen geen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alcoholische dranken worden meegenomen, tenzij deze in karton of plastic zijn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uitgeschonken. Buiten het afgescheiden terras mag geen alcoholische dranken worden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meegenomen.</w:t>
      </w:r>
    </w:p>
    <w:p w:rsidR="0055674D" w:rsidRDefault="003F3101" w:rsidP="003F310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Het bestuur wil voorkomen dat personen met meer dan het toegestane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promillage alcohol aan het verkeer deelnemen. Op basis daarvan kan de verstrekking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van alcoholhoudende drank worden geweigerd.</w:t>
      </w:r>
    </w:p>
    <w:p w:rsidR="0055674D" w:rsidRDefault="003F3101" w:rsidP="003F310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De leidinggevenden en barvrijwilligers drinken geen alcohol gedurende hun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kantinedienst.</w:t>
      </w:r>
    </w:p>
    <w:p w:rsidR="0055674D" w:rsidRDefault="003F3101" w:rsidP="003F310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 xml:space="preserve">Prijsacties die het gebruik van alcohol stimuleren, zoals happy </w:t>
      </w:r>
      <w:proofErr w:type="spellStart"/>
      <w:r w:rsidR="0055674D">
        <w:rPr>
          <w:rFonts w:ascii="Cambria" w:hAnsi="Cambria" w:cs="Cambria"/>
          <w:color w:val="000000"/>
          <w:sz w:val="24"/>
          <w:szCs w:val="24"/>
        </w:rPr>
        <w:t>hours</w:t>
      </w:r>
      <w:proofErr w:type="spellEnd"/>
      <w:r w:rsidR="0055674D">
        <w:rPr>
          <w:rFonts w:ascii="Cambria" w:hAnsi="Cambria" w:cs="Cambria"/>
          <w:color w:val="000000"/>
          <w:sz w:val="24"/>
          <w:szCs w:val="24"/>
        </w:rPr>
        <w:t xml:space="preserve"> zijn niet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toegestaan.</w:t>
      </w:r>
    </w:p>
    <w:p w:rsidR="0055674D" w:rsidRDefault="003F3101" w:rsidP="003F310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Personen die agressie of ander normafwijkend gedrag vertonen worden uit de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kantine verwijderd.</w:t>
      </w:r>
    </w:p>
    <w:p w:rsidR="003F3101" w:rsidRDefault="003F3101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5</w:t>
      </w:r>
      <w:r w:rsidR="003F3101">
        <w:rPr>
          <w:rFonts w:ascii="Calibri-Bold" w:hAnsi="Calibri-Bold" w:cs="Calibri-Bold"/>
          <w:b/>
          <w:bCs/>
          <w:color w:val="4F82BE"/>
          <w:sz w:val="26"/>
          <w:szCs w:val="26"/>
        </w:rPr>
        <w:t>.</w:t>
      </w: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 xml:space="preserve"> Openingstijden en schenktijden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 openings- en schenktijden tijden van de kantine zijn conform de drank- en</w:t>
      </w:r>
      <w:r w:rsidR="003F310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horecavergunning.</w:t>
      </w:r>
    </w:p>
    <w:p w:rsidR="003F3101" w:rsidRDefault="003F3101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6</w:t>
      </w:r>
      <w:r w:rsidR="003F3101">
        <w:rPr>
          <w:rFonts w:ascii="Calibri-Bold" w:hAnsi="Calibri-Bold" w:cs="Calibri-Bold"/>
          <w:b/>
          <w:bCs/>
          <w:color w:val="4F82BE"/>
          <w:sz w:val="26"/>
          <w:szCs w:val="26"/>
        </w:rPr>
        <w:t>.</w:t>
      </w: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 xml:space="preserve"> Kwalificatienormen en instructie verantwoord alcoholgebruik voor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barvrijwilligers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Voor de barvrijwilligers zijn de volgende kwalificatienormen vastgesteld: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is bij het uitschenken van alcohol tenminste 18 jaar oud;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hebben een instructie verantwoord alcoholgebruik gevolgd (minimaal een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voorlichting) door een ter zake deskundige;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staat als zodanig bij de Stichting Sport en Welzijn Dorp Tynaarlo geregistreerd;</w:t>
      </w:r>
    </w:p>
    <w:p w:rsidR="003F3101" w:rsidRDefault="003F3101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7</w:t>
      </w:r>
      <w:r w:rsidR="005B1C2D">
        <w:rPr>
          <w:rFonts w:ascii="Calibri-Bold" w:hAnsi="Calibri-Bold" w:cs="Calibri-Bold"/>
          <w:b/>
          <w:bCs/>
          <w:color w:val="4F82BE"/>
          <w:sz w:val="26"/>
          <w:szCs w:val="26"/>
        </w:rPr>
        <w:t>.</w:t>
      </w: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 xml:space="preserve"> Voorlichting</w:t>
      </w:r>
    </w:p>
    <w:p w:rsidR="0055674D" w:rsidRDefault="003F3101" w:rsidP="003F310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Schenktijden en leeftijdsgrenzen worden goed zichtbaar in het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dorpshu</w:t>
      </w:r>
      <w:r w:rsidR="005B1C2D">
        <w:rPr>
          <w:rFonts w:ascii="Cambria" w:hAnsi="Cambria" w:cs="Cambria"/>
          <w:color w:val="000000"/>
          <w:sz w:val="24"/>
          <w:szCs w:val="24"/>
        </w:rPr>
        <w:t>is/kantine opgehangen</w:t>
      </w:r>
      <w:r w:rsidR="0055674D">
        <w:rPr>
          <w:rFonts w:ascii="Cambria" w:hAnsi="Cambria" w:cs="Cambria"/>
          <w:color w:val="000000"/>
          <w:sz w:val="24"/>
          <w:szCs w:val="24"/>
        </w:rPr>
        <w:t>.</w:t>
      </w:r>
    </w:p>
    <w:p w:rsidR="0055674D" w:rsidRDefault="003F3101" w:rsidP="003F310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Het bestuur schenk aandacht aan publicitaire acties in het kader van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verantwoord alcoholgebruik.</w:t>
      </w:r>
    </w:p>
    <w:p w:rsidR="0055674D" w:rsidRDefault="003F3101" w:rsidP="003F310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Het bestuur onderschrijft de bestaande regelingen omtrent reclame-uitingen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voor alcoholhoudende dranken</w:t>
      </w:r>
    </w:p>
    <w:sectPr w:rsidR="0055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74D"/>
    <w:rsid w:val="0005089F"/>
    <w:rsid w:val="002005A2"/>
    <w:rsid w:val="002024A9"/>
    <w:rsid w:val="002163AE"/>
    <w:rsid w:val="00310778"/>
    <w:rsid w:val="003F3101"/>
    <w:rsid w:val="004D1D9F"/>
    <w:rsid w:val="0055674D"/>
    <w:rsid w:val="005B1C2D"/>
    <w:rsid w:val="005E1CD4"/>
    <w:rsid w:val="00646708"/>
    <w:rsid w:val="006969AF"/>
    <w:rsid w:val="00B2214D"/>
    <w:rsid w:val="00B96E23"/>
    <w:rsid w:val="00C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FC42"/>
  <w15:docId w15:val="{DA54E47A-0E88-4BC0-89E4-80FA91AC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3770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Westerbeek | Bosscher Janssens notarissen</dc:creator>
  <cp:lastModifiedBy>Arie Dallinga</cp:lastModifiedBy>
  <cp:revision>2</cp:revision>
  <dcterms:created xsi:type="dcterms:W3CDTF">2020-01-30T13:45:00Z</dcterms:created>
  <dcterms:modified xsi:type="dcterms:W3CDTF">2020-01-30T13:45:00Z</dcterms:modified>
</cp:coreProperties>
</file>